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54" w:rsidRPr="0061685B" w:rsidRDefault="008E7554" w:rsidP="006168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1685B">
        <w:rPr>
          <w:rFonts w:ascii="Times New Roman" w:hAnsi="Times New Roman"/>
          <w:b/>
          <w:sz w:val="26"/>
          <w:szCs w:val="26"/>
          <w:lang w:val="uk-UA"/>
        </w:rPr>
        <w:t>Пояснювальна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b/>
          <w:sz w:val="26"/>
          <w:szCs w:val="26"/>
          <w:lang w:val="uk-UA"/>
        </w:rPr>
        <w:t>записка</w:t>
      </w:r>
    </w:p>
    <w:p w:rsidR="008E7554" w:rsidRPr="0061685B" w:rsidRDefault="008E7554" w:rsidP="0061685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д</w:t>
      </w:r>
      <w:r w:rsidRPr="0061685B">
        <w:rPr>
          <w:rFonts w:ascii="Times New Roman" w:hAnsi="Times New Roman"/>
          <w:b/>
          <w:i/>
          <w:sz w:val="26"/>
          <w:szCs w:val="26"/>
          <w:lang w:val="uk-UA"/>
        </w:rPr>
        <w:t>о звіту про виконання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b/>
          <w:i/>
          <w:sz w:val="26"/>
          <w:szCs w:val="26"/>
          <w:lang w:val="uk-UA"/>
        </w:rPr>
        <w:t xml:space="preserve">фінансового плану </w:t>
      </w:r>
    </w:p>
    <w:p w:rsidR="008E7554" w:rsidRDefault="008E7554" w:rsidP="006168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1685B">
        <w:rPr>
          <w:rFonts w:ascii="Times New Roman" w:hAnsi="Times New Roman"/>
          <w:b/>
          <w:i/>
          <w:sz w:val="26"/>
          <w:szCs w:val="26"/>
          <w:lang w:val="uk-UA"/>
        </w:rPr>
        <w:t xml:space="preserve"> КП НМР «Комфорт» </w:t>
      </w:r>
      <w:r>
        <w:rPr>
          <w:rFonts w:ascii="Times New Roman" w:hAnsi="Times New Roman"/>
          <w:b/>
          <w:sz w:val="26"/>
          <w:szCs w:val="26"/>
          <w:lang w:val="uk-UA"/>
        </w:rPr>
        <w:t>за 2019 рік</w:t>
      </w:r>
    </w:p>
    <w:p w:rsidR="008E7554" w:rsidRPr="0061685B" w:rsidRDefault="008E7554" w:rsidP="006168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Підприємство засноване на комунальній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формі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власності територіальної громади міста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Нетішин 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входить до сфери управління Нетішинської міської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ради. Підприємство відноситься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малих підприємств. Діяльність КП НМР «Комфорт» здійснює 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підставі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Статуту.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Вид економічної діяльності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згідно КВЕД: 93.29 Організування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інших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видів відпочинку та розваг.</w:t>
      </w:r>
    </w:p>
    <w:p w:rsidR="008E7554" w:rsidRPr="0061685B" w:rsidRDefault="008E7554" w:rsidP="0061685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Наданий на затвердження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звіт про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фінансового плану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КП НМР «Комфорт» 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2019р. сформований 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базі прогнозних розрахунків 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2019р., фактичних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даних 2019р.,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2018р., нормативних документів, діючих та прогнозних розцінок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виконання робіт(послуг), матеріалів, енергоносіїв,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рівня інфляції, тощо). </w:t>
      </w:r>
    </w:p>
    <w:p w:rsidR="008E7554" w:rsidRPr="0061685B" w:rsidRDefault="008E7554" w:rsidP="0061685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У 2019р. КП НМР «Комфорт» фактично отримано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іншого операційного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доходу рядок 1070( основної таблиці)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b/>
          <w:sz w:val="26"/>
          <w:szCs w:val="26"/>
          <w:lang w:val="uk-UA"/>
        </w:rPr>
        <w:t xml:space="preserve">сумі 3280,20 тис. грн., </w:t>
      </w:r>
      <w:r w:rsidRPr="0061685B">
        <w:rPr>
          <w:rFonts w:ascii="Times New Roman" w:hAnsi="Times New Roman"/>
          <w:sz w:val="26"/>
          <w:szCs w:val="26"/>
          <w:lang w:val="uk-UA"/>
        </w:rPr>
        <w:t>до складу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якого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доходу входять:</w:t>
      </w:r>
    </w:p>
    <w:p w:rsidR="008E7554" w:rsidRPr="0061685B" w:rsidRDefault="008E7554" w:rsidP="006168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кошти отримані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від місцевого бюджету відповідно Програми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благоустрою міста Нетішин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на 2017-2019 роки. </w:t>
      </w:r>
      <w:r w:rsidRPr="0061685B">
        <w:rPr>
          <w:rFonts w:ascii="Times New Roman" w:hAnsi="Times New Roman"/>
          <w:b/>
          <w:sz w:val="26"/>
          <w:szCs w:val="26"/>
          <w:lang w:val="uk-UA"/>
        </w:rPr>
        <w:t>в сумі 2931,6 тис. грн.:</w:t>
      </w:r>
    </w:p>
    <w:p w:rsidR="008E7554" w:rsidRPr="0061685B" w:rsidRDefault="008E7554" w:rsidP="0061685B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Поточні видатки</w:t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  <w:t>2740,70 тис. грн;</w:t>
      </w:r>
    </w:p>
    <w:p w:rsidR="008E7554" w:rsidRPr="0061685B" w:rsidRDefault="008E7554" w:rsidP="0061685B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Капітальні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видатки </w:t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  <w:t>190,90 тис. грн.</w:t>
      </w:r>
    </w:p>
    <w:p w:rsidR="008E7554" w:rsidRPr="0061685B" w:rsidRDefault="008E7554" w:rsidP="006168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кошти, що надійшли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від Пайової участі в утриманні об’єктів благоустрою </w:t>
      </w:r>
      <w:r w:rsidRPr="0061685B">
        <w:rPr>
          <w:rFonts w:ascii="Times New Roman" w:hAnsi="Times New Roman"/>
          <w:b/>
          <w:sz w:val="26"/>
          <w:szCs w:val="26"/>
          <w:lang w:val="uk-UA"/>
        </w:rPr>
        <w:t>в сумі 31,6 тис. грн.</w:t>
      </w:r>
    </w:p>
    <w:p w:rsidR="008E7554" w:rsidRPr="0061685B" w:rsidRDefault="008E7554" w:rsidP="006168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визнаний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дохід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від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цільового фінансування капітальних інвестицій (основних засобів, нематеріальних активів тощо) пропорційно сумі нарахованої амортизації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для цих об'єктів згідно із п.18 П(С)бо 15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«Дохід»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b/>
          <w:sz w:val="26"/>
          <w:szCs w:val="26"/>
          <w:lang w:val="uk-UA"/>
        </w:rPr>
        <w:t>в сумі 307,4 тис. грн</w:t>
      </w:r>
      <w:r w:rsidRPr="0061685B">
        <w:rPr>
          <w:rFonts w:ascii="Times New Roman" w:hAnsi="Times New Roman"/>
          <w:sz w:val="26"/>
          <w:szCs w:val="26"/>
          <w:lang w:val="uk-UA"/>
        </w:rPr>
        <w:t>.</w:t>
      </w:r>
    </w:p>
    <w:p w:rsidR="008E7554" w:rsidRPr="0061685B" w:rsidRDefault="008E7554" w:rsidP="006168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кошти, що надійшли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від Фонду соціального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страхування України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</w:t>
      </w:r>
      <w:r w:rsidRPr="0061685B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а виплату допомоги по тимчасовій непрацездатності внаслідок захворювання </w:t>
      </w:r>
      <w:r w:rsidRPr="0061685B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в</w:t>
      </w:r>
      <w:r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61685B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сумі</w:t>
      </w:r>
      <w:r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61685B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9,6 тис. грн.</w:t>
      </w:r>
    </w:p>
    <w:p w:rsidR="008E7554" w:rsidRPr="0061685B" w:rsidRDefault="008E7554" w:rsidP="0061685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звітному періоді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61685B">
        <w:rPr>
          <w:rFonts w:ascii="Times New Roman" w:hAnsi="Times New Roman"/>
          <w:sz w:val="26"/>
          <w:szCs w:val="26"/>
          <w:lang w:val="uk-UA"/>
        </w:rPr>
        <w:t>відбулось зменшення розміру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визнаного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доходу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від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цільового фінансування капітальних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інвестицій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50,0 тис. за рахунок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зменшення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капітальних інвестицій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придбання основних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засобів, інших необоротних матеріальних активів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 955,0тис. в порівняні з плановими показниками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2019 р.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з 1366,0тис. грн. до 411,00 тис. грн. </w:t>
      </w:r>
    </w:p>
    <w:p w:rsidR="008E7554" w:rsidRPr="0061685B" w:rsidRDefault="008E7554" w:rsidP="0061685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b/>
          <w:sz w:val="26"/>
          <w:szCs w:val="26"/>
          <w:lang w:val="uk-UA"/>
        </w:rPr>
        <w:t>Витрати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b/>
          <w:sz w:val="26"/>
          <w:szCs w:val="26"/>
          <w:lang w:val="uk-UA"/>
        </w:rPr>
        <w:t>КП НМР «Комфорт» за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b/>
          <w:sz w:val="26"/>
          <w:szCs w:val="26"/>
          <w:lang w:val="uk-UA"/>
        </w:rPr>
        <w:t>2019 рік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b/>
          <w:sz w:val="26"/>
          <w:szCs w:val="26"/>
          <w:lang w:val="uk-UA"/>
        </w:rPr>
        <w:t>складають 3263,2 тис. грн.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що на 1116,0тис. грн. менше від запланованих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 рік. 4379,0 тис. грн.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або 75% від запланованих. До складу витрат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підприємства 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 рік входять:</w:t>
      </w:r>
    </w:p>
    <w:p w:rsidR="008E7554" w:rsidRPr="0061685B" w:rsidRDefault="008E7554" w:rsidP="006168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Адміністративні витрати 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  <w:t>2557,9 тис. грн.</w:t>
      </w: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в т.ч.</w:t>
      </w:r>
    </w:p>
    <w:p w:rsidR="008E7554" w:rsidRPr="0061685B" w:rsidRDefault="008E7554" w:rsidP="006168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 xml:space="preserve">- </w:t>
      </w:r>
      <w:r>
        <w:rPr>
          <w:rFonts w:ascii="Times New Roman" w:hAnsi="Times New Roman"/>
          <w:sz w:val="26"/>
          <w:szCs w:val="26"/>
          <w:lang w:val="uk-UA"/>
        </w:rPr>
        <w:t>витрати на оплату праці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1486,2 тис. грн.</w:t>
      </w:r>
    </w:p>
    <w:p w:rsidR="008E7554" w:rsidRPr="0061685B" w:rsidRDefault="008E7554" w:rsidP="006168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- відрахування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 соціальні</w:t>
      </w:r>
      <w:r>
        <w:rPr>
          <w:rFonts w:ascii="Times New Roman" w:hAnsi="Times New Roman"/>
          <w:sz w:val="26"/>
          <w:szCs w:val="26"/>
          <w:lang w:val="uk-UA"/>
        </w:rPr>
        <w:t xml:space="preserve"> заходи 22% ЄСВ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324,4 тис. грн.</w:t>
      </w:r>
    </w:p>
    <w:p w:rsidR="008E7554" w:rsidRPr="0061685B" w:rsidRDefault="008E7554" w:rsidP="006168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-амортизація основних засобів, інших необоротних матеріальних активів,</w:t>
      </w:r>
    </w:p>
    <w:p w:rsidR="008E7554" w:rsidRPr="0061685B" w:rsidRDefault="008E7554" w:rsidP="006168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нематеріальн</w:t>
      </w:r>
      <w:r>
        <w:rPr>
          <w:rFonts w:ascii="Times New Roman" w:hAnsi="Times New Roman"/>
          <w:sz w:val="26"/>
          <w:szCs w:val="26"/>
          <w:lang w:val="uk-UA"/>
        </w:rPr>
        <w:t>их активів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307,4 тис. грн.</w:t>
      </w:r>
    </w:p>
    <w:p w:rsidR="008E7554" w:rsidRPr="0061685B" w:rsidRDefault="008E7554" w:rsidP="006168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-витрати на</w:t>
      </w:r>
      <w:r>
        <w:rPr>
          <w:rFonts w:ascii="Times New Roman" w:hAnsi="Times New Roman"/>
          <w:sz w:val="26"/>
          <w:szCs w:val="26"/>
          <w:lang w:val="uk-UA"/>
        </w:rPr>
        <w:t xml:space="preserve"> ремонт основних фондів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48,5 тис. грн.</w:t>
      </w:r>
    </w:p>
    <w:p w:rsidR="008E7554" w:rsidRPr="0061685B" w:rsidRDefault="008E7554" w:rsidP="006168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-витрати на службо</w:t>
      </w:r>
      <w:r>
        <w:rPr>
          <w:rFonts w:ascii="Times New Roman" w:hAnsi="Times New Roman"/>
          <w:sz w:val="26"/>
          <w:szCs w:val="26"/>
          <w:lang w:val="uk-UA"/>
        </w:rPr>
        <w:t xml:space="preserve">ві відрядження та зв'язок 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4,6 тис. грн</w:t>
      </w:r>
    </w:p>
    <w:p w:rsidR="008E7554" w:rsidRPr="0061685B" w:rsidRDefault="008E7554" w:rsidP="006168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 xml:space="preserve">-інші </w:t>
      </w:r>
      <w:r>
        <w:rPr>
          <w:rFonts w:ascii="Times New Roman" w:hAnsi="Times New Roman"/>
          <w:sz w:val="26"/>
          <w:szCs w:val="26"/>
          <w:lang w:val="uk-UA"/>
        </w:rPr>
        <w:t>адміністративні витрати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386,8тис. грн</w:t>
      </w:r>
    </w:p>
    <w:p w:rsidR="008E7554" w:rsidRDefault="008E7554" w:rsidP="006168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інші операційні</w:t>
      </w:r>
      <w:r>
        <w:rPr>
          <w:rFonts w:ascii="Times New Roman" w:hAnsi="Times New Roman"/>
          <w:sz w:val="26"/>
          <w:szCs w:val="26"/>
          <w:lang w:val="uk-UA"/>
        </w:rPr>
        <w:t xml:space="preserve"> витрати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708,4 тис. грн. </w:t>
      </w:r>
    </w:p>
    <w:p w:rsidR="008E7554" w:rsidRDefault="008E7554" w:rsidP="006168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7554" w:rsidRDefault="008E7554" w:rsidP="0061685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</w:p>
    <w:p w:rsidR="008E7554" w:rsidRPr="0061685B" w:rsidRDefault="008E7554" w:rsidP="0061685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У структурі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витрат КП НМР «Комфорт»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питому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вагу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становлять витрати на витрати на оплату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праці 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капітальні інвестиції </w:t>
      </w:r>
    </w:p>
    <w:p w:rsidR="008E7554" w:rsidRPr="0061685B" w:rsidRDefault="008E7554" w:rsidP="006168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Капітальні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інвестиції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2019</w:t>
      </w:r>
      <w:r>
        <w:rPr>
          <w:rFonts w:ascii="Times New Roman" w:hAnsi="Times New Roman"/>
          <w:sz w:val="26"/>
          <w:szCs w:val="26"/>
          <w:lang w:val="uk-UA"/>
        </w:rPr>
        <w:t xml:space="preserve"> р. КП НМР «Комфорт» складають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411,0 тис. грн або 30,09 % від запланованого: в т.ч.</w:t>
      </w:r>
    </w:p>
    <w:p w:rsidR="008E7554" w:rsidRPr="0061685B" w:rsidRDefault="008E7554" w:rsidP="006168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Придбання (виготовлення) основних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засобів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191,1 тис. грн;</w:t>
      </w:r>
    </w:p>
    <w:p w:rsidR="008E7554" w:rsidRPr="0061685B" w:rsidRDefault="008E7554" w:rsidP="006168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Придбання(виготовлення) інших нео</w:t>
      </w:r>
      <w:r>
        <w:rPr>
          <w:rFonts w:ascii="Times New Roman" w:hAnsi="Times New Roman"/>
          <w:sz w:val="26"/>
          <w:szCs w:val="26"/>
          <w:lang w:val="uk-UA"/>
        </w:rPr>
        <w:t xml:space="preserve">боротних матеріальних активів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220,0 тис. грн;</w:t>
      </w: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Згідно даних таблиці № 5 «Дані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про персонал та витрати на оплату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праці» середня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кількість працівників за 2019 рік по підприємству, враховуючи штатних працівників, зовнішніх сумісників та працівників, що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працювали за цивільно-правовими угодами, фактично становить 17 осіб. Із них :</w:t>
      </w:r>
    </w:p>
    <w:p w:rsidR="008E7554" w:rsidRPr="0061685B" w:rsidRDefault="008E7554" w:rsidP="006168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директор</w:t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  <w:t>1 чол.</w:t>
      </w:r>
    </w:p>
    <w:p w:rsidR="008E7554" w:rsidRPr="0061685B" w:rsidRDefault="008E7554" w:rsidP="006168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 xml:space="preserve">адміністративно- управлінського персоналу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5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чол.</w:t>
      </w:r>
    </w:p>
    <w:p w:rsidR="008E7554" w:rsidRPr="0061685B" w:rsidRDefault="008E7554" w:rsidP="006168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 xml:space="preserve">працівників </w:t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>11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чол.</w:t>
      </w:r>
    </w:p>
    <w:p w:rsidR="008E7554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Фонд оплати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праці працівників КП НМР «Комфорт» за 2019 рік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складається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із фондів основної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додаткової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заробітної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плати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інших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заохочувальних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 компенсаційних виплат 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фактично складає 1486,0 тис. грн., що на 198,0 тис. грн. менше в порівнянні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із запланованим на 2019рік.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1684,0 тис. грн. Фактичні витрати на оплату праці за 2019 рік становлять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1808,0 тис. грн. або 88,01%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від запланованих Середньомісячна заробітна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плата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одного працівника КП НМР «Комфорт» 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 рік становить 7284,0 грн., середньомісячні витрати на оплату праці одного працівника слали 8864,0 грн. що на 147,0 грн менше від запланованих на звітний період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витрат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 2019рік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9011,0 грн і на 2991,0 грн більше порівняно із фактичними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середньомісячними витратами за 2018р.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 xml:space="preserve"> Посадові оклади та інші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види витрат формуються згідно з колективним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договором. Нарахування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 виплати здійснюються у відповідності з фінансовими можливостями підприємства.</w:t>
      </w: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 xml:space="preserve"> 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кінець звітного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періоду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відсутня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заборгованість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підприємства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 розрахунками з оплати праці, розрахунками зі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страхування та розрахунками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з бюджетом. </w:t>
      </w: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</w:rPr>
        <w:t>Підприємство не має заборгованості по платежах до бюджетів та державних цільових фондів.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Згідно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даних таблиці №2 «Розрахунки з бюджетом» п</w:t>
      </w:r>
      <w:r w:rsidRPr="0061685B">
        <w:rPr>
          <w:rFonts w:ascii="Times New Roman" w:hAnsi="Times New Roman"/>
          <w:sz w:val="26"/>
          <w:szCs w:val="26"/>
        </w:rPr>
        <w:t>ідприємством сплачено податків, зборів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державного 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місцевого бюджетів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 суму 665,92 тис.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т.ч. 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місцевого бюджету 272,62 тис. грн. що становить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90 %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від запланованих 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 р. 303,00 тис. грн 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135,19 тис. грн. більше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порівняно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 відповідним періодом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2018р., 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якому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фактична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сплата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до місцевого бюджету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становила 137</w:t>
      </w:r>
      <w:bookmarkStart w:id="0" w:name="_GoBack"/>
      <w:bookmarkEnd w:id="0"/>
      <w:r w:rsidRPr="0061685B">
        <w:rPr>
          <w:rFonts w:ascii="Times New Roman" w:hAnsi="Times New Roman"/>
          <w:sz w:val="26"/>
          <w:szCs w:val="26"/>
          <w:lang w:val="uk-UA"/>
        </w:rPr>
        <w:t>,43 тис. грн.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 2019 році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61685B">
        <w:rPr>
          <w:rFonts w:ascii="Times New Roman" w:hAnsi="Times New Roman"/>
          <w:sz w:val="26"/>
          <w:szCs w:val="26"/>
          <w:lang w:val="uk-UA"/>
        </w:rPr>
        <w:t>сплачено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нараховані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2018р. податок на прибуток (18%). 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сумі 2,1 тис. грн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перераховано частину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чистого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прибутку (15%)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сумі 1,44 тис. грн.</w:t>
      </w:r>
    </w:p>
    <w:p w:rsidR="008E7554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В результаті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проведених розрахунків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 рік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виникла різниця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між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даними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таблиці №2 «Розрахунки з бюджетом» розділ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«Інші податки, збори та платежі 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користь держави»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рядок 2133/1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на суму 46,5 тис. грн.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даними таблиці №1 «Звіт про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фінансового плану підприємства 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2019р» розділ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«Інші операційні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витрати» рядок.1081/25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суму 39,1 тис. грн. У звіті про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фінансового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плану відображається фактично отримані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доходи і витрати 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фактичне надходження 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використання фінансових ресурсів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звітний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період. Різниця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 сумі 7,4 тис. грн.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була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сплачена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рахунок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нерозподіленого прибутку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2018р.</w:t>
      </w:r>
    </w:p>
    <w:p w:rsidR="008E7554" w:rsidRDefault="008E7554" w:rsidP="006168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</w:p>
    <w:p w:rsidR="008E7554" w:rsidRPr="0061685B" w:rsidRDefault="008E7554" w:rsidP="006168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Різниця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 сумі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246,0 тис. грн між даними Звіту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про фінансові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результати форма 2-м. р.2280«Інші операційні доходи»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 сумі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(3034,2 тис. грн.)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даними таблиці 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1 «Звіт про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фінансового плану підприємства 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2019р» розділ «Інші операційні доходи» р. 1070 (3280,2 тис. грн)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61685B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різниця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 сумі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246,0 тис. грн між даними Звіту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про фінансові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результати форма 2-м. р.2285 «Разом витрати»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 сумі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(3020,3 тис. грн.)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даними таблиці №1 «Звіт про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фінансового плану підприємства 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2019р» розділ «Усього витрат» р. 1220 ( 3266,3 тис. грн)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виникла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рахунок доходів майбутніх періодів. Згідно п.17 П(С)бо 15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«Дохід»: о</w:t>
      </w:r>
      <w:r w:rsidRPr="0061685B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тримане цільове фінансування визнається доходом протягом тих періодів, в яких були зазнані витрати, пов'язані з виконанням умов цільового фінансування.</w:t>
      </w: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>Відповідно до отриманих доходів та понесених витрат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за 2019 рік підприємство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є прибутковим.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Чистий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>прибуток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1685B">
        <w:rPr>
          <w:rFonts w:ascii="Times New Roman" w:hAnsi="Times New Roman"/>
          <w:sz w:val="26"/>
          <w:szCs w:val="26"/>
          <w:lang w:val="uk-UA"/>
        </w:rPr>
        <w:t xml:space="preserve"> складає 11,4 тис. грн.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8E7554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8E7554" w:rsidRPr="0061685B" w:rsidRDefault="008E7554" w:rsidP="006168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7554" w:rsidRDefault="008E7554" w:rsidP="0061685B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  <w:t>А.А.Руденко</w:t>
      </w:r>
    </w:p>
    <w:p w:rsidR="008E7554" w:rsidRDefault="008E7554" w:rsidP="0061685B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8E7554" w:rsidRDefault="008E7554" w:rsidP="0061685B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8E7554" w:rsidRPr="0061685B" w:rsidRDefault="008E7554" w:rsidP="0061685B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8E7554" w:rsidRPr="0061685B" w:rsidRDefault="008E7554" w:rsidP="0061685B">
      <w:pPr>
        <w:spacing w:after="0" w:line="240" w:lineRule="auto"/>
        <w:rPr>
          <w:sz w:val="26"/>
          <w:szCs w:val="26"/>
          <w:lang w:val="uk-UA"/>
        </w:rPr>
      </w:pPr>
      <w:r w:rsidRPr="0061685B">
        <w:rPr>
          <w:rFonts w:ascii="Times New Roman" w:hAnsi="Times New Roman"/>
          <w:sz w:val="26"/>
          <w:szCs w:val="26"/>
          <w:lang w:val="uk-UA"/>
        </w:rPr>
        <w:t xml:space="preserve">Головний бухгалтер </w:t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</w:r>
      <w:r w:rsidRPr="0061685B">
        <w:rPr>
          <w:rFonts w:ascii="Times New Roman" w:hAnsi="Times New Roman"/>
          <w:sz w:val="26"/>
          <w:szCs w:val="26"/>
          <w:lang w:val="uk-UA"/>
        </w:rPr>
        <w:tab/>
        <w:t>В.О.Миронюк</w:t>
      </w:r>
    </w:p>
    <w:sectPr w:rsidR="008E7554" w:rsidRPr="0061685B" w:rsidSect="00616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03D"/>
    <w:multiLevelType w:val="hybridMultilevel"/>
    <w:tmpl w:val="FB4418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E1623B8"/>
    <w:multiLevelType w:val="hybridMultilevel"/>
    <w:tmpl w:val="4744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554FA"/>
    <w:multiLevelType w:val="hybridMultilevel"/>
    <w:tmpl w:val="54B8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576EB"/>
    <w:multiLevelType w:val="hybridMultilevel"/>
    <w:tmpl w:val="F03A7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74F7283"/>
    <w:multiLevelType w:val="hybridMultilevel"/>
    <w:tmpl w:val="0BA8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0738D0"/>
    <w:multiLevelType w:val="hybridMultilevel"/>
    <w:tmpl w:val="6F6AA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4152DD"/>
    <w:multiLevelType w:val="hybridMultilevel"/>
    <w:tmpl w:val="3BC43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7381E00"/>
    <w:multiLevelType w:val="hybridMultilevel"/>
    <w:tmpl w:val="2BEEA3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21D7D"/>
    <w:rsid w:val="00033128"/>
    <w:rsid w:val="00065DEB"/>
    <w:rsid w:val="00083EFB"/>
    <w:rsid w:val="00090F2B"/>
    <w:rsid w:val="00090F3A"/>
    <w:rsid w:val="0009748C"/>
    <w:rsid w:val="000A62F6"/>
    <w:rsid w:val="000B7AE9"/>
    <w:rsid w:val="000C3533"/>
    <w:rsid w:val="000D7460"/>
    <w:rsid w:val="00115E66"/>
    <w:rsid w:val="0012041C"/>
    <w:rsid w:val="001213CB"/>
    <w:rsid w:val="00127C56"/>
    <w:rsid w:val="0013649C"/>
    <w:rsid w:val="001412B2"/>
    <w:rsid w:val="00154CDD"/>
    <w:rsid w:val="001816C2"/>
    <w:rsid w:val="001B295E"/>
    <w:rsid w:val="001B2B4F"/>
    <w:rsid w:val="001E5107"/>
    <w:rsid w:val="001E77A5"/>
    <w:rsid w:val="001F4038"/>
    <w:rsid w:val="001F4BFA"/>
    <w:rsid w:val="00211E37"/>
    <w:rsid w:val="00212533"/>
    <w:rsid w:val="00222AB6"/>
    <w:rsid w:val="00233F80"/>
    <w:rsid w:val="00256A3F"/>
    <w:rsid w:val="002729DE"/>
    <w:rsid w:val="0027510D"/>
    <w:rsid w:val="00295803"/>
    <w:rsid w:val="002C380E"/>
    <w:rsid w:val="002C5A31"/>
    <w:rsid w:val="002F7F09"/>
    <w:rsid w:val="00302C83"/>
    <w:rsid w:val="00303179"/>
    <w:rsid w:val="00304885"/>
    <w:rsid w:val="00322A41"/>
    <w:rsid w:val="00333E09"/>
    <w:rsid w:val="00335E22"/>
    <w:rsid w:val="0035078A"/>
    <w:rsid w:val="003608E4"/>
    <w:rsid w:val="003926B2"/>
    <w:rsid w:val="00392FED"/>
    <w:rsid w:val="003A4450"/>
    <w:rsid w:val="003A7D9F"/>
    <w:rsid w:val="003B35CA"/>
    <w:rsid w:val="003C18EC"/>
    <w:rsid w:val="003C4BCB"/>
    <w:rsid w:val="003E0D9B"/>
    <w:rsid w:val="003E2C45"/>
    <w:rsid w:val="003E3C2D"/>
    <w:rsid w:val="003E6B0D"/>
    <w:rsid w:val="00442F92"/>
    <w:rsid w:val="00476140"/>
    <w:rsid w:val="004D3EC9"/>
    <w:rsid w:val="004E68F0"/>
    <w:rsid w:val="004E7B8D"/>
    <w:rsid w:val="004F08A2"/>
    <w:rsid w:val="004F32A8"/>
    <w:rsid w:val="005157E8"/>
    <w:rsid w:val="00526E3D"/>
    <w:rsid w:val="00531E36"/>
    <w:rsid w:val="00537980"/>
    <w:rsid w:val="00560C70"/>
    <w:rsid w:val="005700F3"/>
    <w:rsid w:val="00570552"/>
    <w:rsid w:val="0058230F"/>
    <w:rsid w:val="005A14A1"/>
    <w:rsid w:val="005C1A12"/>
    <w:rsid w:val="005D6593"/>
    <w:rsid w:val="005F729C"/>
    <w:rsid w:val="0061685B"/>
    <w:rsid w:val="006173B0"/>
    <w:rsid w:val="00636582"/>
    <w:rsid w:val="00637D4C"/>
    <w:rsid w:val="00644678"/>
    <w:rsid w:val="0065227E"/>
    <w:rsid w:val="006819D2"/>
    <w:rsid w:val="006835C2"/>
    <w:rsid w:val="006A1444"/>
    <w:rsid w:val="006B7FF2"/>
    <w:rsid w:val="006C2656"/>
    <w:rsid w:val="006C581B"/>
    <w:rsid w:val="006C5FF2"/>
    <w:rsid w:val="006E0BAC"/>
    <w:rsid w:val="007244CE"/>
    <w:rsid w:val="00727FFD"/>
    <w:rsid w:val="00751AC3"/>
    <w:rsid w:val="00762544"/>
    <w:rsid w:val="007864B0"/>
    <w:rsid w:val="00790006"/>
    <w:rsid w:val="00790A69"/>
    <w:rsid w:val="007B3C68"/>
    <w:rsid w:val="00801074"/>
    <w:rsid w:val="0080584F"/>
    <w:rsid w:val="00816694"/>
    <w:rsid w:val="0083515E"/>
    <w:rsid w:val="0084350C"/>
    <w:rsid w:val="00875D53"/>
    <w:rsid w:val="008B28FD"/>
    <w:rsid w:val="008C59E4"/>
    <w:rsid w:val="008E7554"/>
    <w:rsid w:val="009146CA"/>
    <w:rsid w:val="00923544"/>
    <w:rsid w:val="00942B27"/>
    <w:rsid w:val="00964310"/>
    <w:rsid w:val="00981623"/>
    <w:rsid w:val="00996446"/>
    <w:rsid w:val="009A7B05"/>
    <w:rsid w:val="009C37E5"/>
    <w:rsid w:val="009C68E8"/>
    <w:rsid w:val="009D3B52"/>
    <w:rsid w:val="009E4164"/>
    <w:rsid w:val="009F3EC7"/>
    <w:rsid w:val="00A079E3"/>
    <w:rsid w:val="00A42FE6"/>
    <w:rsid w:val="00A5411C"/>
    <w:rsid w:val="00A83FDC"/>
    <w:rsid w:val="00A85912"/>
    <w:rsid w:val="00AA0630"/>
    <w:rsid w:val="00AA4669"/>
    <w:rsid w:val="00AC51B7"/>
    <w:rsid w:val="00AC6260"/>
    <w:rsid w:val="00AD3411"/>
    <w:rsid w:val="00AF18F4"/>
    <w:rsid w:val="00B144B5"/>
    <w:rsid w:val="00B21E03"/>
    <w:rsid w:val="00B315F3"/>
    <w:rsid w:val="00B34F42"/>
    <w:rsid w:val="00B5535F"/>
    <w:rsid w:val="00B95668"/>
    <w:rsid w:val="00BC2907"/>
    <w:rsid w:val="00BD026C"/>
    <w:rsid w:val="00BD6176"/>
    <w:rsid w:val="00BF57FD"/>
    <w:rsid w:val="00C15031"/>
    <w:rsid w:val="00C15BF4"/>
    <w:rsid w:val="00C237DA"/>
    <w:rsid w:val="00C2569C"/>
    <w:rsid w:val="00C4448E"/>
    <w:rsid w:val="00C52F6D"/>
    <w:rsid w:val="00C53A3E"/>
    <w:rsid w:val="00C55FAC"/>
    <w:rsid w:val="00C6757B"/>
    <w:rsid w:val="00C9171E"/>
    <w:rsid w:val="00CB041F"/>
    <w:rsid w:val="00CC7DFC"/>
    <w:rsid w:val="00CD40A7"/>
    <w:rsid w:val="00CE5602"/>
    <w:rsid w:val="00CF75DE"/>
    <w:rsid w:val="00D43F43"/>
    <w:rsid w:val="00D94134"/>
    <w:rsid w:val="00DB5A17"/>
    <w:rsid w:val="00DB70C1"/>
    <w:rsid w:val="00DC5685"/>
    <w:rsid w:val="00DD1FD3"/>
    <w:rsid w:val="00DD464F"/>
    <w:rsid w:val="00DE14E2"/>
    <w:rsid w:val="00E07F5C"/>
    <w:rsid w:val="00E106DB"/>
    <w:rsid w:val="00E1529B"/>
    <w:rsid w:val="00E24319"/>
    <w:rsid w:val="00E25530"/>
    <w:rsid w:val="00E74212"/>
    <w:rsid w:val="00E82174"/>
    <w:rsid w:val="00EE0F3F"/>
    <w:rsid w:val="00EE3707"/>
    <w:rsid w:val="00F14DFE"/>
    <w:rsid w:val="00F32F9E"/>
    <w:rsid w:val="00F3412C"/>
    <w:rsid w:val="00F55C7F"/>
    <w:rsid w:val="00F7594E"/>
    <w:rsid w:val="00F929E6"/>
    <w:rsid w:val="00FB6678"/>
    <w:rsid w:val="00FE08CE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3B35CA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1F4B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1065</TotalTime>
  <Pages>3</Pages>
  <Words>1003</Words>
  <Characters>5722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141</cp:revision>
  <cp:lastPrinted>2020-02-21T11:44:00Z</cp:lastPrinted>
  <dcterms:created xsi:type="dcterms:W3CDTF">2017-11-28T13:17:00Z</dcterms:created>
  <dcterms:modified xsi:type="dcterms:W3CDTF">2020-02-21T11:45:00Z</dcterms:modified>
</cp:coreProperties>
</file>